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BD1D" w14:textId="77777777" w:rsidR="00170F75" w:rsidRDefault="006E5709">
      <w:pPr>
        <w:jc w:val="center"/>
        <w:rPr>
          <w:rFonts w:ascii="Cera Pro" w:eastAsia="Cera Pro" w:hAnsi="Cera Pro" w:cs="Cera Pro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era Pro" w:eastAsia="Cera Pro" w:hAnsi="Cera Pro" w:cs="Cera Pro"/>
          <w:b/>
          <w:sz w:val="24"/>
          <w:szCs w:val="24"/>
        </w:rPr>
        <w:t>Caring Dads Service Response to COVID-19</w:t>
      </w:r>
    </w:p>
    <w:p w14:paraId="2950CD5D" w14:textId="77777777" w:rsidR="00170F75" w:rsidRDefault="00170F75">
      <w:pPr>
        <w:rPr>
          <w:rFonts w:ascii="Cera Pro" w:eastAsia="Cera Pro" w:hAnsi="Cera Pro" w:cs="Cera Pro"/>
          <w:b/>
        </w:rPr>
      </w:pPr>
    </w:p>
    <w:p w14:paraId="1BE33BBC" w14:textId="77777777" w:rsidR="00170F75" w:rsidRDefault="006E5709">
      <w:pPr>
        <w:rPr>
          <w:rFonts w:ascii="Cera Pro" w:eastAsia="Cera Pro" w:hAnsi="Cera Pro" w:cs="Cera Pro"/>
          <w:b/>
        </w:rPr>
      </w:pPr>
      <w:r>
        <w:rPr>
          <w:rFonts w:ascii="Cera Pro" w:eastAsia="Cera Pro" w:hAnsi="Cera Pro" w:cs="Cera Pro"/>
          <w:b/>
        </w:rPr>
        <w:t>Individual Engagement Strategy</w:t>
      </w:r>
    </w:p>
    <w:p w14:paraId="777751B1" w14:textId="77777777" w:rsidR="00170F75" w:rsidRDefault="006E5709">
      <w:pPr>
        <w:rPr>
          <w:rFonts w:ascii="Cera Pro" w:eastAsia="Cera Pro" w:hAnsi="Cera Pro" w:cs="Cera Pro"/>
          <w:sz w:val="20"/>
          <w:szCs w:val="20"/>
        </w:rPr>
      </w:pPr>
      <w:r>
        <w:rPr>
          <w:rFonts w:ascii="Cera Pro" w:eastAsia="Cera Pro" w:hAnsi="Cera Pro" w:cs="Cera Pro"/>
          <w:sz w:val="20"/>
          <w:szCs w:val="20"/>
        </w:rPr>
        <w:t xml:space="preserve">Best practice advice from the Caring Dads developers in Canada during the COVID-19 crisis stipulates “our main goal is to contribute to the safety of women and child victims of men’s abuse. </w:t>
      </w:r>
      <w:proofErr w:type="gramStart"/>
      <w:r>
        <w:rPr>
          <w:rFonts w:ascii="Cera Pro" w:eastAsia="Cera Pro" w:hAnsi="Cera Pro" w:cs="Cera Pro"/>
          <w:sz w:val="20"/>
          <w:szCs w:val="20"/>
        </w:rPr>
        <w:t>At this time</w:t>
      </w:r>
      <w:proofErr w:type="gramEnd"/>
      <w:r>
        <w:rPr>
          <w:rFonts w:ascii="Cera Pro" w:eastAsia="Cera Pro" w:hAnsi="Cera Pro" w:cs="Cera Pro"/>
          <w:sz w:val="20"/>
          <w:szCs w:val="20"/>
        </w:rPr>
        <w:t xml:space="preserve"> of crisis, we need to provide crisis work that is res</w:t>
      </w:r>
      <w:r>
        <w:rPr>
          <w:rFonts w:ascii="Cera Pro" w:eastAsia="Cera Pro" w:hAnsi="Cera Pro" w:cs="Cera Pro"/>
          <w:sz w:val="20"/>
          <w:szCs w:val="20"/>
        </w:rPr>
        <w:t>ponsive to the specific risks men pose to women and children.”</w:t>
      </w:r>
    </w:p>
    <w:p w14:paraId="3785EE8F" w14:textId="77777777" w:rsidR="00170F75" w:rsidRDefault="006E5709">
      <w:pPr>
        <w:rPr>
          <w:rFonts w:ascii="Cera Pro" w:eastAsia="Cera Pro" w:hAnsi="Cera Pro" w:cs="Cera Pro"/>
          <w:sz w:val="20"/>
          <w:szCs w:val="20"/>
        </w:rPr>
      </w:pPr>
      <w:r>
        <w:rPr>
          <w:rFonts w:ascii="Cera Pro" w:eastAsia="Cera Pro" w:hAnsi="Cera Pro" w:cs="Cera Pro"/>
          <w:sz w:val="20"/>
          <w:szCs w:val="20"/>
        </w:rPr>
        <w:t xml:space="preserve">The intention of individual work by phone with fathers during the COVID-19 pandemic is to provide </w:t>
      </w:r>
      <w:r>
        <w:rPr>
          <w:rFonts w:ascii="Cera Pro" w:eastAsia="Cera Pro" w:hAnsi="Cera Pro" w:cs="Cera Pro"/>
          <w:b/>
          <w:sz w:val="20"/>
          <w:szCs w:val="20"/>
        </w:rPr>
        <w:t>support</w:t>
      </w:r>
      <w:r>
        <w:rPr>
          <w:rFonts w:ascii="Cera Pro" w:eastAsia="Cera Pro" w:hAnsi="Cera Pro" w:cs="Cera Pro"/>
          <w:sz w:val="20"/>
          <w:szCs w:val="20"/>
        </w:rPr>
        <w:t xml:space="preserve"> and increase </w:t>
      </w:r>
      <w:r>
        <w:rPr>
          <w:rFonts w:ascii="Cera Pro" w:eastAsia="Cera Pro" w:hAnsi="Cera Pro" w:cs="Cera Pro"/>
          <w:b/>
          <w:sz w:val="20"/>
          <w:szCs w:val="20"/>
        </w:rPr>
        <w:t>safety</w:t>
      </w:r>
      <w:r>
        <w:rPr>
          <w:rFonts w:ascii="Cera Pro" w:eastAsia="Cera Pro" w:hAnsi="Cera Pro" w:cs="Cera Pro"/>
          <w:sz w:val="20"/>
          <w:szCs w:val="20"/>
        </w:rPr>
        <w:t xml:space="preserve"> for families in a time of elevated risk, through regular person-cen</w:t>
      </w:r>
      <w:r>
        <w:rPr>
          <w:rFonts w:ascii="Cera Pro" w:eastAsia="Cera Pro" w:hAnsi="Cera Pro" w:cs="Cera Pro"/>
          <w:sz w:val="20"/>
          <w:szCs w:val="20"/>
        </w:rPr>
        <w:t xml:space="preserve">tred engagement with fathers by phone. Change-work, as per the normal Caring Dads groupwork program, is not a realistic expectation at the current time. Instead Caring Dads interventions will focus on: </w:t>
      </w:r>
    </w:p>
    <w:p w14:paraId="281DB626" w14:textId="77777777" w:rsidR="00170F75" w:rsidRDefault="006E5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Making a connection so that the father has someone to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reach out to and so that his partner is not the only one bearing the load of risk.</w:t>
      </w:r>
    </w:p>
    <w:p w14:paraId="16E18D40" w14:textId="77777777" w:rsidR="00170F75" w:rsidRDefault="006E5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Ask questions that allow you to assess and monitor men’s risk to their families. This includes thinking about recent and current stressors that men and their families are f</w:t>
      </w:r>
      <w:r>
        <w:rPr>
          <w:rFonts w:ascii="Cera Pro" w:eastAsia="Cera Pro" w:hAnsi="Cera Pro" w:cs="Cera Pro"/>
          <w:color w:val="000000"/>
          <w:sz w:val="20"/>
          <w:szCs w:val="20"/>
        </w:rPr>
        <w:t>acing.</w:t>
      </w:r>
    </w:p>
    <w:p w14:paraId="65F481A0" w14:textId="77777777" w:rsidR="00170F75" w:rsidRDefault="006E5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 xml:space="preserve">Working with men to understand their risk to others and to counter this with prosocial desires such as being a good father, keeping their relationship, avoiding arrest, etc. </w:t>
      </w:r>
    </w:p>
    <w:p w14:paraId="701DCBDC" w14:textId="77777777" w:rsidR="00170F75" w:rsidRDefault="006E5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Collaborating with men and, as needed, with other social service providers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to manage and reduce dynamic risk (e.g., support implementation of harm reduction strategies in substance using men, address immediate housing needs, “talk men down” from revenge and anger)</w:t>
      </w:r>
    </w:p>
    <w:p w14:paraId="4222B6F9" w14:textId="77777777" w:rsidR="00170F75" w:rsidRDefault="006E5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Providing as much practical support as you can to help manage imm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ediate stress. Service could include helping fathers to complete applications for wage subsidies, access food banks, etc    </w:t>
      </w:r>
      <w:proofErr w:type="gramStart"/>
      <w:r>
        <w:rPr>
          <w:rFonts w:ascii="Cera Pro" w:eastAsia="Cera Pro" w:hAnsi="Cera Pro" w:cs="Cera Pro"/>
          <w:color w:val="000000"/>
          <w:sz w:val="20"/>
          <w:szCs w:val="20"/>
        </w:rPr>
        <w:t xml:space="preserve">   </w:t>
      </w:r>
      <w:r>
        <w:rPr>
          <w:rFonts w:ascii="Cera Pro" w:eastAsia="Cera Pro" w:hAnsi="Cera Pro" w:cs="Cera Pro"/>
          <w:i/>
          <w:color w:val="000000"/>
          <w:sz w:val="20"/>
          <w:szCs w:val="20"/>
        </w:rPr>
        <w:t>(</w:t>
      </w:r>
      <w:proofErr w:type="gramEnd"/>
      <w:r>
        <w:rPr>
          <w:rFonts w:ascii="Cera Pro" w:eastAsia="Cera Pro" w:hAnsi="Cera Pro" w:cs="Cera Pro"/>
          <w:i/>
          <w:color w:val="000000"/>
          <w:sz w:val="20"/>
          <w:szCs w:val="20"/>
        </w:rPr>
        <w:t>from Caring Dads Canada’s COVID 19 practice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</w:t>
      </w:r>
      <w:r>
        <w:rPr>
          <w:rFonts w:ascii="Cera Pro" w:eastAsia="Cera Pro" w:hAnsi="Cera Pro" w:cs="Cera Pro"/>
          <w:i/>
          <w:color w:val="000000"/>
          <w:sz w:val="20"/>
          <w:szCs w:val="20"/>
        </w:rPr>
        <w:t>advice)</w:t>
      </w:r>
    </w:p>
    <w:p w14:paraId="48D258A1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489F0117" w14:textId="77777777" w:rsidR="00170F75" w:rsidRDefault="006E5709">
      <w:pPr>
        <w:rPr>
          <w:rFonts w:ascii="Cera Pro" w:eastAsia="Cera Pro" w:hAnsi="Cera Pro" w:cs="Cera Pro"/>
          <w:sz w:val="20"/>
          <w:szCs w:val="20"/>
        </w:rPr>
      </w:pPr>
      <w:r>
        <w:rPr>
          <w:rFonts w:ascii="Cera Pro" w:eastAsia="Cera Pro" w:hAnsi="Cera Pro" w:cs="Cera Pro"/>
          <w:sz w:val="20"/>
          <w:szCs w:val="20"/>
        </w:rPr>
        <w:t>In addition to direct practice with fathers, we should continue to contribu</w:t>
      </w:r>
      <w:r>
        <w:rPr>
          <w:rFonts w:ascii="Cera Pro" w:eastAsia="Cera Pro" w:hAnsi="Cera Pro" w:cs="Cera Pro"/>
          <w:sz w:val="20"/>
          <w:szCs w:val="20"/>
        </w:rPr>
        <w:t>te to the safety of those impacted by his use of violence through:</w:t>
      </w:r>
    </w:p>
    <w:p w14:paraId="16F998B7" w14:textId="77777777" w:rsidR="00170F75" w:rsidRDefault="006E5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collaborative case management with other service providers</w:t>
      </w:r>
    </w:p>
    <w:p w14:paraId="0064514B" w14:textId="77777777" w:rsidR="00170F75" w:rsidRDefault="006E5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ra Pro" w:eastAsia="Cera Pro" w:hAnsi="Cera Pro" w:cs="Cera Pro"/>
          <w:color w:val="000000"/>
          <w:sz w:val="20"/>
          <w:szCs w:val="20"/>
        </w:rPr>
        <w:t>maintaining engagement with adult victim survivors to monitor dynamic risk factors and review safety plans and support needs</w:t>
      </w:r>
    </w:p>
    <w:p w14:paraId="238F4F30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4BDDACF8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124187BA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7700B80B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71A17727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5A65086E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71014823" w14:textId="77777777" w:rsidR="00170F75" w:rsidRDefault="00170F75">
      <w:pPr>
        <w:rPr>
          <w:rFonts w:ascii="Cera Pro" w:eastAsia="Cera Pro" w:hAnsi="Cera Pro" w:cs="Cera Pro"/>
          <w:b/>
          <w:sz w:val="20"/>
          <w:szCs w:val="20"/>
        </w:rPr>
      </w:pPr>
    </w:p>
    <w:p w14:paraId="5939614C" w14:textId="77777777" w:rsidR="00170F75" w:rsidRDefault="006E5709">
      <w:pPr>
        <w:rPr>
          <w:rFonts w:ascii="Cera Pro" w:eastAsia="Cera Pro" w:hAnsi="Cera Pro" w:cs="Cera Pro"/>
          <w:b/>
        </w:rPr>
      </w:pPr>
      <w:r>
        <w:rPr>
          <w:rFonts w:ascii="Cera Pro" w:eastAsia="Cera Pro" w:hAnsi="Cera Pro" w:cs="Cera Pro"/>
          <w:b/>
        </w:rPr>
        <w:t>Session Structure</w:t>
      </w:r>
    </w:p>
    <w:p w14:paraId="095680BF" w14:textId="77777777" w:rsidR="00170F75" w:rsidRDefault="006E5709">
      <w:pPr>
        <w:rPr>
          <w:rFonts w:ascii="Cera Pro" w:eastAsia="Cera Pro" w:hAnsi="Cera Pro" w:cs="Cera Pro"/>
          <w:sz w:val="20"/>
          <w:szCs w:val="20"/>
        </w:rPr>
      </w:pPr>
      <w:r>
        <w:rPr>
          <w:rFonts w:ascii="Cera Pro" w:eastAsia="Cera Pro" w:hAnsi="Cera Pro" w:cs="Cera Pro"/>
          <w:sz w:val="20"/>
          <w:szCs w:val="20"/>
        </w:rPr>
        <w:t xml:space="preserve">Telephone/video call sessions will need to remain flexible and responsive to client needs. The outline below is intended as a guide to support practitioners to focus on support and risk management rather than change work. </w:t>
      </w:r>
    </w:p>
    <w:p w14:paraId="5695D496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4D0956FB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lastRenderedPageBreak/>
        <w:t>Private spac</w:t>
      </w:r>
      <w:r>
        <w:rPr>
          <w:rFonts w:ascii="Cera Pro" w:eastAsia="Cera Pro" w:hAnsi="Cera Pro" w:cs="Cera Pro"/>
          <w:b/>
          <w:color w:val="000000"/>
          <w:sz w:val="20"/>
          <w:szCs w:val="20"/>
        </w:rPr>
        <w:t>e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– does the father have a private space and the time to talk?</w:t>
      </w:r>
    </w:p>
    <w:p w14:paraId="7A5AC8E0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07D93695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 xml:space="preserve">Explore impact </w:t>
      </w:r>
    </w:p>
    <w:p w14:paraId="330FB9B0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b/>
          <w:color w:val="000000"/>
          <w:sz w:val="20"/>
          <w:szCs w:val="20"/>
        </w:rPr>
      </w:pPr>
    </w:p>
    <w:p w14:paraId="7D535A51" w14:textId="77777777" w:rsidR="00170F75" w:rsidRDefault="006E57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 xml:space="preserve">On himself </w:t>
      </w:r>
      <w:r>
        <w:rPr>
          <w:rFonts w:ascii="Cera Pro" w:eastAsia="Cera Pro" w:hAnsi="Cera Pro" w:cs="Cera Pro"/>
          <w:color w:val="000000"/>
          <w:sz w:val="20"/>
          <w:szCs w:val="20"/>
        </w:rPr>
        <w:t>- discuss the impact of the pandemic on him (e.g. physical &amp;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mental health, stress, job loss, changes to custody or access with children, financial stress, feeling confined, bored). Screen for mental health concerns and suicide where appropriate.</w:t>
      </w:r>
    </w:p>
    <w:p w14:paraId="01BCDD46" w14:textId="77777777" w:rsidR="00170F75" w:rsidRDefault="006E57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 xml:space="preserve">On children 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– discuss any changes in children’s behaviour, encourage 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him to consider his children’s experience (e.g. loss of contact with grandparents, friends, changes to school, routine, impact of family stress on children) and what they need from him.   </w:t>
      </w:r>
    </w:p>
    <w:p w14:paraId="4581860B" w14:textId="77777777" w:rsidR="00170F75" w:rsidRDefault="006E57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 xml:space="preserve">On relationship with mother/other caregivers – 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discuss how the pandemic is impacting on his relationships with significant people in his children’s lives. How is he supporting his children’s mother </w:t>
      </w:r>
      <w:proofErr w:type="gramStart"/>
      <w:r>
        <w:rPr>
          <w:rFonts w:ascii="Cera Pro" w:eastAsia="Cera Pro" w:hAnsi="Cera Pro" w:cs="Cera Pro"/>
          <w:color w:val="000000"/>
          <w:sz w:val="20"/>
          <w:szCs w:val="20"/>
        </w:rPr>
        <w:t>at the moment</w:t>
      </w:r>
      <w:proofErr w:type="gramEnd"/>
      <w:r>
        <w:rPr>
          <w:rFonts w:ascii="Cera Pro" w:eastAsia="Cera Pro" w:hAnsi="Cera Pro" w:cs="Cera Pro"/>
          <w:color w:val="000000"/>
          <w:sz w:val="20"/>
          <w:szCs w:val="20"/>
        </w:rPr>
        <w:t>?</w:t>
      </w:r>
    </w:p>
    <w:p w14:paraId="15003602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4424A552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>Focus on safety –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normalise stressors while encouraging him to focus on pro-social goals 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that increase safety, such as avoiding breaches, being a good dad, maintaining a safe relationship with his partner, and utilising appropriate informal and formal supports to keep himself safe. </w:t>
      </w:r>
    </w:p>
    <w:p w14:paraId="4CE71647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584E7350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>Explore strengths and support needs -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how is he coping with </w:t>
      </w:r>
      <w:r>
        <w:rPr>
          <w:rFonts w:ascii="Cera Pro" w:eastAsia="Cera Pro" w:hAnsi="Cera Pro" w:cs="Cera Pro"/>
          <w:color w:val="000000"/>
          <w:sz w:val="20"/>
          <w:szCs w:val="20"/>
        </w:rPr>
        <w:t>the impacts of the pandemic? Are his usual sources of support and coping strategies available to him? Does he need information or advice about any additional supports, strategies etc – in terms of the pandemic, his mental health and his ability to remain c</w:t>
      </w:r>
      <w:r>
        <w:rPr>
          <w:rFonts w:ascii="Cera Pro" w:eastAsia="Cera Pro" w:hAnsi="Cera Pro" w:cs="Cera Pro"/>
          <w:color w:val="000000"/>
          <w:sz w:val="20"/>
          <w:szCs w:val="20"/>
        </w:rPr>
        <w:t>alm and ensure the safety and wellbeing of himself and his family?</w:t>
      </w:r>
    </w:p>
    <w:p w14:paraId="54AAB5E1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34104F35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>Problem-solving and practical help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– are there any specific issues (practical or otherwise) that we can help him with?</w:t>
      </w:r>
    </w:p>
    <w:p w14:paraId="70BB6F41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p w14:paraId="61A809FF" w14:textId="77777777" w:rsidR="00170F75" w:rsidRDefault="006E5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ra Pro" w:eastAsia="Cera Pro" w:hAnsi="Cera Pro" w:cs="Cera Pro"/>
          <w:color w:val="000000"/>
          <w:sz w:val="20"/>
          <w:szCs w:val="20"/>
        </w:rPr>
      </w:pPr>
      <w:r>
        <w:rPr>
          <w:rFonts w:ascii="Cera Pro" w:eastAsia="Cera Pro" w:hAnsi="Cera Pro" w:cs="Cera Pro"/>
          <w:b/>
          <w:color w:val="000000"/>
          <w:sz w:val="20"/>
          <w:szCs w:val="20"/>
        </w:rPr>
        <w:t>Next appointment –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 arrange date and time for next phone contact. Enc</w:t>
      </w:r>
      <w:r>
        <w:rPr>
          <w:rFonts w:ascii="Cera Pro" w:eastAsia="Cera Pro" w:hAnsi="Cera Pro" w:cs="Cera Pro"/>
          <w:color w:val="000000"/>
          <w:sz w:val="20"/>
          <w:szCs w:val="20"/>
        </w:rPr>
        <w:t xml:space="preserve">ourage father to reach out in the interim if needed. </w:t>
      </w:r>
    </w:p>
    <w:p w14:paraId="06945F5F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051B69ED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07BB553C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38C191C0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75013A01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4B1B2E9A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6CD795B2" w14:textId="77777777" w:rsidR="00170F75" w:rsidRDefault="00170F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ra Pro" w:eastAsia="Cera Pro" w:hAnsi="Cera Pro" w:cs="Cera Pro"/>
          <w:color w:val="000000"/>
          <w:sz w:val="20"/>
          <w:szCs w:val="20"/>
        </w:rPr>
      </w:pPr>
    </w:p>
    <w:p w14:paraId="2596C002" w14:textId="77777777" w:rsidR="00170F75" w:rsidRDefault="006E5709">
      <w:pPr>
        <w:rPr>
          <w:rFonts w:ascii="Cera Pro" w:eastAsia="Cera Pro" w:hAnsi="Cera Pro" w:cs="Cera Pro"/>
          <w:b/>
          <w:sz w:val="20"/>
          <w:szCs w:val="20"/>
        </w:rPr>
      </w:pPr>
      <w:r>
        <w:rPr>
          <w:rFonts w:ascii="Cera Pro" w:eastAsia="Cera Pro" w:hAnsi="Cera Pro" w:cs="Cera Pro"/>
          <w:b/>
          <w:sz w:val="20"/>
          <w:szCs w:val="20"/>
        </w:rPr>
        <w:t>Support Services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</w:tblGrid>
      <w:tr w:rsidR="00170F75" w14:paraId="73558F34" w14:textId="77777777">
        <w:tc>
          <w:tcPr>
            <w:tcW w:w="3964" w:type="dxa"/>
          </w:tcPr>
          <w:p w14:paraId="2350C766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Coronavirus Hotline – 1800 675 398</w:t>
            </w:r>
          </w:p>
        </w:tc>
        <w:tc>
          <w:tcPr>
            <w:tcW w:w="4678" w:type="dxa"/>
          </w:tcPr>
          <w:p w14:paraId="6CFE5025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Mensline – 1300 789 978</w:t>
            </w:r>
          </w:p>
        </w:tc>
      </w:tr>
      <w:tr w:rsidR="00170F75" w14:paraId="483E75ED" w14:textId="77777777">
        <w:tc>
          <w:tcPr>
            <w:tcW w:w="3964" w:type="dxa"/>
          </w:tcPr>
          <w:p w14:paraId="3463B028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Men’s Referral Service – 1300 766 491</w:t>
            </w:r>
          </w:p>
        </w:tc>
        <w:tc>
          <w:tcPr>
            <w:tcW w:w="4678" w:type="dxa"/>
          </w:tcPr>
          <w:p w14:paraId="6F69C884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Beyond Blue – 1300 224 636</w:t>
            </w:r>
          </w:p>
        </w:tc>
      </w:tr>
      <w:tr w:rsidR="00170F75" w14:paraId="55F0CBFE" w14:textId="77777777">
        <w:tc>
          <w:tcPr>
            <w:tcW w:w="3964" w:type="dxa"/>
          </w:tcPr>
          <w:p w14:paraId="1F3ED63F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Lifeline – 13 11 14</w:t>
            </w:r>
          </w:p>
        </w:tc>
        <w:tc>
          <w:tcPr>
            <w:tcW w:w="4678" w:type="dxa"/>
          </w:tcPr>
          <w:p w14:paraId="48ADFDDC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Suicide Call Back Service – 1300 659 467</w:t>
            </w:r>
          </w:p>
        </w:tc>
      </w:tr>
      <w:tr w:rsidR="00170F75" w14:paraId="1F12480C" w14:textId="77777777">
        <w:tc>
          <w:tcPr>
            <w:tcW w:w="3964" w:type="dxa"/>
          </w:tcPr>
          <w:p w14:paraId="11CEBEC5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Kids Help Line – 1800 551 800</w:t>
            </w:r>
          </w:p>
        </w:tc>
        <w:tc>
          <w:tcPr>
            <w:tcW w:w="4678" w:type="dxa"/>
          </w:tcPr>
          <w:p w14:paraId="437949D5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Family Relationships Advice Line – 1800 050 321</w:t>
            </w:r>
          </w:p>
        </w:tc>
      </w:tr>
      <w:tr w:rsidR="00170F75" w14:paraId="280758D1" w14:textId="77777777">
        <w:tc>
          <w:tcPr>
            <w:tcW w:w="3964" w:type="dxa"/>
          </w:tcPr>
          <w:p w14:paraId="1B62BBC5" w14:textId="77777777" w:rsidR="00170F75" w:rsidRDefault="006E5709">
            <w:pPr>
              <w:spacing w:line="360" w:lineRule="auto"/>
              <w:rPr>
                <w:rFonts w:ascii="Cera Pro" w:eastAsia="Cera Pro" w:hAnsi="Cera Pro" w:cs="Cera Pro"/>
                <w:sz w:val="20"/>
                <w:szCs w:val="20"/>
              </w:rPr>
            </w:pPr>
            <w:r>
              <w:rPr>
                <w:rFonts w:ascii="Cera Pro" w:eastAsia="Cera Pro" w:hAnsi="Cera Pro" w:cs="Cera Pro"/>
                <w:sz w:val="20"/>
                <w:szCs w:val="20"/>
              </w:rPr>
              <w:t>Parentline – 1300 301 300</w:t>
            </w:r>
          </w:p>
        </w:tc>
        <w:tc>
          <w:tcPr>
            <w:tcW w:w="4678" w:type="dxa"/>
          </w:tcPr>
          <w:p w14:paraId="35CA2C04" w14:textId="77777777" w:rsidR="00170F75" w:rsidRDefault="00170F75">
            <w:pPr>
              <w:spacing w:line="360" w:lineRule="auto"/>
              <w:rPr>
                <w:rFonts w:ascii="Cera Pro" w:eastAsia="Cera Pro" w:hAnsi="Cera Pro" w:cs="Cera Pro"/>
                <w:b/>
                <w:sz w:val="20"/>
                <w:szCs w:val="20"/>
              </w:rPr>
            </w:pPr>
          </w:p>
        </w:tc>
      </w:tr>
    </w:tbl>
    <w:p w14:paraId="3CE708B7" w14:textId="77777777" w:rsidR="00170F75" w:rsidRDefault="00170F75"/>
    <w:p w14:paraId="06463691" w14:textId="77777777" w:rsidR="00170F75" w:rsidRDefault="00170F75"/>
    <w:p w14:paraId="4EA8033C" w14:textId="77777777" w:rsidR="00170F75" w:rsidRDefault="00170F75"/>
    <w:p w14:paraId="1E90F53B" w14:textId="77777777" w:rsidR="00170F75" w:rsidRDefault="00170F75"/>
    <w:p w14:paraId="3A1CA982" w14:textId="77777777" w:rsidR="00170F75" w:rsidRDefault="00170F75">
      <w:pPr>
        <w:rPr>
          <w:rFonts w:ascii="Cera Pro" w:eastAsia="Cera Pro" w:hAnsi="Cera Pro" w:cs="Cera Pro"/>
          <w:sz w:val="20"/>
          <w:szCs w:val="20"/>
        </w:rPr>
      </w:pPr>
    </w:p>
    <w:sectPr w:rsidR="00170F75">
      <w:headerReference w:type="default" r:id="rId7"/>
      <w:footerReference w:type="default" r:id="rId8"/>
      <w:pgSz w:w="11906" w:h="16838"/>
      <w:pgMar w:top="2552" w:right="1440" w:bottom="1440" w:left="1440" w:header="7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1FD8" w14:textId="77777777" w:rsidR="006E5709" w:rsidRDefault="006E5709">
      <w:pPr>
        <w:spacing w:after="0" w:line="240" w:lineRule="auto"/>
      </w:pPr>
      <w:r>
        <w:separator/>
      </w:r>
    </w:p>
  </w:endnote>
  <w:endnote w:type="continuationSeparator" w:id="0">
    <w:p w14:paraId="602A3F93" w14:textId="77777777" w:rsidR="006E5709" w:rsidRDefault="006E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ra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165A" w14:textId="77777777" w:rsidR="00170F75" w:rsidRDefault="006E5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4CBEF3B9" wp14:editId="5498D793">
          <wp:simplePos x="0" y="0"/>
          <wp:positionH relativeFrom="column">
            <wp:posOffset>4095750</wp:posOffset>
          </wp:positionH>
          <wp:positionV relativeFrom="paragraph">
            <wp:posOffset>122554</wp:posOffset>
          </wp:positionV>
          <wp:extent cx="2114550" cy="686121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19222" b="17879"/>
                  <a:stretch>
                    <a:fillRect/>
                  </a:stretch>
                </pic:blipFill>
                <pic:spPr>
                  <a:xfrm>
                    <a:off x="0" y="0"/>
                    <a:ext cx="2114550" cy="686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692F44E" wp14:editId="4EB2F5E7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038975" cy="1587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6513" y="378000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038975" cy="158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897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064999" w14:textId="77777777" w:rsidR="00170F75" w:rsidRDefault="006E5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42908725" wp14:editId="3D9D6351">
          <wp:simplePos x="0" y="0"/>
          <wp:positionH relativeFrom="column">
            <wp:posOffset>-342899</wp:posOffset>
          </wp:positionH>
          <wp:positionV relativeFrom="paragraph">
            <wp:posOffset>89535</wp:posOffset>
          </wp:positionV>
          <wp:extent cx="1571625" cy="460328"/>
          <wp:effectExtent l="0" t="0" r="0" b="0"/>
          <wp:wrapNone/>
          <wp:docPr id="4" name="image5.png" descr="S:\Corporate\Marketing &amp; Communications\.2017 - 2018\Branding\2. Kids First Master Brand\_MASTER LOGO - FA\3. Large Size\KF LOGO - LRG - Lock Up - Stack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:\Corporate\Marketing &amp; Communications\.2017 - 2018\Branding\2. Kids First Master Brand\_MASTER LOGO - FA\3. Large Size\KF LOGO - LRG - Lock Up - Stacked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60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23054" w14:textId="77777777" w:rsidR="00170F75" w:rsidRDefault="00170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B44AD67" w14:textId="77777777" w:rsidR="00170F75" w:rsidRDefault="00170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4BD2CAD" w14:textId="77777777" w:rsidR="00170F75" w:rsidRDefault="00170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8679DAD" w14:textId="77777777" w:rsidR="00170F75" w:rsidRDefault="006E5709">
    <w:pPr>
      <w:tabs>
        <w:tab w:val="left" w:pos="3686"/>
        <w:tab w:val="left" w:pos="5812"/>
        <w:tab w:val="left" w:pos="8789"/>
      </w:tabs>
      <w:ind w:left="-567" w:right="-472"/>
      <w:rPr>
        <w:sz w:val="14"/>
        <w:szCs w:val="14"/>
      </w:rPr>
    </w:pPr>
    <w:r>
      <w:rPr>
        <w:sz w:val="14"/>
        <w:szCs w:val="14"/>
      </w:rPr>
      <w:t xml:space="preserve">CD_F013 Caring Dads Letter </w:t>
    </w:r>
    <w:proofErr w:type="gramStart"/>
    <w:r>
      <w:rPr>
        <w:sz w:val="14"/>
        <w:szCs w:val="14"/>
      </w:rPr>
      <w:t>To</w:t>
    </w:r>
    <w:proofErr w:type="gramEnd"/>
    <w:r>
      <w:rPr>
        <w:sz w:val="14"/>
        <w:szCs w:val="14"/>
      </w:rPr>
      <w:t xml:space="preserve"> Professionals V2.0</w:t>
    </w:r>
    <w:r>
      <w:rPr>
        <w:sz w:val="14"/>
        <w:szCs w:val="14"/>
      </w:rPr>
      <w:tab/>
      <w:t>Doc Owner:  CD</w:t>
    </w:r>
    <w:r>
      <w:rPr>
        <w:sz w:val="14"/>
        <w:szCs w:val="14"/>
      </w:rPr>
      <w:tab/>
      <w:t>Date Approved: Feb 2018</w:t>
    </w:r>
    <w:r>
      <w:rPr>
        <w:sz w:val="14"/>
        <w:szCs w:val="14"/>
      </w:rPr>
      <w:tab/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B9395F">
      <w:rPr>
        <w:sz w:val="14"/>
        <w:szCs w:val="14"/>
      </w:rPr>
      <w:fldChar w:fldCharType="separate"/>
    </w:r>
    <w:r w:rsidR="00B9395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B9395F">
      <w:rPr>
        <w:sz w:val="14"/>
        <w:szCs w:val="14"/>
      </w:rPr>
      <w:fldChar w:fldCharType="separate"/>
    </w:r>
    <w:r w:rsidR="00B9395F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  <w:p w14:paraId="0A18AB80" w14:textId="77777777" w:rsidR="00170F75" w:rsidRDefault="00170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13A3" w14:textId="77777777" w:rsidR="006E5709" w:rsidRDefault="006E5709">
      <w:pPr>
        <w:spacing w:after="0" w:line="240" w:lineRule="auto"/>
      </w:pPr>
      <w:r>
        <w:separator/>
      </w:r>
    </w:p>
  </w:footnote>
  <w:footnote w:type="continuationSeparator" w:id="0">
    <w:p w14:paraId="55E16ACA" w14:textId="77777777" w:rsidR="006E5709" w:rsidRDefault="006E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7D3C" w14:textId="77777777" w:rsidR="00170F75" w:rsidRDefault="006E5709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/>
      </w:rPr>
      <w:drawing>
        <wp:anchor distT="45720" distB="45720" distL="114300" distR="114300" simplePos="0" relativeHeight="251658240" behindDoc="0" locked="0" layoutInCell="1" hidden="0" allowOverlap="1" wp14:anchorId="1FFF7841" wp14:editId="26B515E7">
          <wp:simplePos x="0" y="0"/>
          <wp:positionH relativeFrom="column">
            <wp:posOffset>-809624</wp:posOffset>
          </wp:positionH>
          <wp:positionV relativeFrom="paragraph">
            <wp:posOffset>-180974</wp:posOffset>
          </wp:positionV>
          <wp:extent cx="1381125" cy="1266825"/>
          <wp:effectExtent l="0" t="0" r="0" b="0"/>
          <wp:wrapSquare wrapText="bothSides" distT="45720" distB="4572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C1612EB" wp14:editId="45E0663C">
              <wp:simplePos x="0" y="0"/>
              <wp:positionH relativeFrom="column">
                <wp:posOffset>685800</wp:posOffset>
              </wp:positionH>
              <wp:positionV relativeFrom="paragraph">
                <wp:posOffset>25400</wp:posOffset>
              </wp:positionV>
              <wp:extent cx="3333750" cy="647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3888" y="3460913"/>
                        <a:ext cx="33242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F80233" w14:textId="77777777" w:rsidR="00170F75" w:rsidRDefault="006E570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era Pro" w:eastAsia="Cera Pro" w:hAnsi="Cera Pro" w:cs="Cera Pro"/>
                              <w:b/>
                              <w:i/>
                              <w:color w:val="000000"/>
                              <w:sz w:val="28"/>
                            </w:rPr>
                            <w:t>Helping fathers value their children</w:t>
                          </w:r>
                        </w:p>
                        <w:p w14:paraId="1A794E53" w14:textId="77777777" w:rsidR="00170F75" w:rsidRDefault="006E570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era Pro" w:eastAsia="Cera Pro" w:hAnsi="Cera Pro" w:cs="Cera Pro"/>
                              <w:color w:val="000000"/>
                              <w:sz w:val="20"/>
                            </w:rPr>
                            <w:t>Delivered by Kids First, Anglicare and Uniting ReGen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25400</wp:posOffset>
              </wp:positionV>
              <wp:extent cx="3333750" cy="647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C3"/>
    <w:multiLevelType w:val="multilevel"/>
    <w:tmpl w:val="745C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8D494F"/>
    <w:multiLevelType w:val="multilevel"/>
    <w:tmpl w:val="40BE39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DB231E"/>
    <w:multiLevelType w:val="multilevel"/>
    <w:tmpl w:val="F8E0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5"/>
    <w:rsid w:val="00170F75"/>
    <w:rsid w:val="006E5709"/>
    <w:rsid w:val="00B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FA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Macintosh Word</Application>
  <DocSecurity>0</DocSecurity>
  <Lines>31</Lines>
  <Paragraphs>8</Paragraphs>
  <ScaleCrop>false</ScaleCrop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Webb</cp:lastModifiedBy>
  <cp:revision>2</cp:revision>
  <dcterms:created xsi:type="dcterms:W3CDTF">2020-04-30T20:59:00Z</dcterms:created>
  <dcterms:modified xsi:type="dcterms:W3CDTF">2020-04-30T20:59:00Z</dcterms:modified>
</cp:coreProperties>
</file>